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10830" w:type="dxa"/>
        <w:jc w:val="center"/>
        <w:tblLayout w:type="fixed"/>
        <w:tblLook w:val="04A0" w:firstRow="1" w:lastRow="0" w:firstColumn="1" w:lastColumn="0" w:noHBand="0" w:noVBand="1"/>
      </w:tblPr>
      <w:tblGrid>
        <w:gridCol w:w="5273"/>
        <w:gridCol w:w="284"/>
        <w:gridCol w:w="5273"/>
      </w:tblGrid>
      <w:tr w:rsidR="00705194" w:rsidTr="44B9C918" w14:paraId="5C5CF610" w14:textId="77777777">
        <w:trPr/>
        <w:tc>
          <w:tcPr>
            <w:tcW w:w="5273" w:type="dxa"/>
            <w:tcMar/>
            <w:vAlign w:val="center"/>
          </w:tcPr>
          <w:p w:rsidRPr="00926D09" w:rsidR="00705194" w:rsidP="007C7282" w:rsidRDefault="00461642" w14:paraId="6F1E2436" w14:textId="3935DD14">
            <w:pPr>
              <w:jc w:val="center"/>
              <w:rPr>
                <w:rFonts w:cstheme="minorHAnsi"/>
                <w:sz w:val="22"/>
                <w:szCs w:val="22"/>
              </w:rPr>
            </w:pPr>
            <w:r>
              <w:rPr>
                <w:rFonts w:cstheme="minorHAnsi"/>
                <w:sz w:val="22"/>
                <w:szCs w:val="22"/>
              </w:rPr>
              <w:t>Indiquer ce qui assure la cohésion dans un solide ionique.</w:t>
            </w:r>
          </w:p>
        </w:tc>
        <w:tc>
          <w:tcPr>
            <w:tcW w:w="284" w:type="dxa"/>
            <w:vMerge w:val="restart"/>
            <w:tcBorders>
              <w:top w:val="nil"/>
              <w:bottom w:val="nil"/>
            </w:tcBorders>
            <w:tcMar/>
          </w:tcPr>
          <w:p w:rsidRPr="00926D09" w:rsidR="00705194" w:rsidRDefault="00705194" w14:paraId="726010D8" w14:textId="77777777">
            <w:pPr>
              <w:rPr>
                <w:rFonts w:cstheme="minorHAnsi"/>
                <w:sz w:val="22"/>
                <w:szCs w:val="22"/>
              </w:rPr>
            </w:pPr>
          </w:p>
        </w:tc>
        <w:tc>
          <w:tcPr>
            <w:tcW w:w="5273" w:type="dxa"/>
            <w:tcMar/>
            <w:vAlign w:val="center"/>
          </w:tcPr>
          <w:p w:rsidRPr="00926D09" w:rsidR="00705194" w:rsidP="00461642" w:rsidRDefault="00461642" w14:paraId="6A731797" w14:textId="3579A3A6">
            <w:pPr>
              <w:spacing w:before="120" w:after="120"/>
              <w:jc w:val="center"/>
              <w:rPr>
                <w:rFonts w:cstheme="minorHAnsi"/>
                <w:sz w:val="22"/>
                <w:szCs w:val="22"/>
              </w:rPr>
            </w:pPr>
            <w:r w:rsidRPr="00461642">
              <w:rPr>
                <w:rFonts w:cstheme="minorHAnsi"/>
                <w:sz w:val="22"/>
                <w:szCs w:val="22"/>
              </w:rPr>
              <w:t xml:space="preserve">Les solides ioniques sont maintenus par des </w:t>
            </w:r>
            <w:r>
              <w:rPr>
                <w:rFonts w:cstheme="minorHAnsi"/>
                <w:sz w:val="22"/>
                <w:szCs w:val="22"/>
              </w:rPr>
              <w:t>interactions</w:t>
            </w:r>
            <w:r w:rsidRPr="00461642">
              <w:rPr>
                <w:rFonts w:cstheme="minorHAnsi"/>
                <w:sz w:val="22"/>
                <w:szCs w:val="22"/>
              </w:rPr>
              <w:t xml:space="preserve"> électrostatiques attractives entre cations et anions de charges opposées, formant un réseau cristallin régulier.</w:t>
            </w:r>
          </w:p>
        </w:tc>
      </w:tr>
      <w:tr w:rsidR="00705194" w:rsidTr="44B9C918" w14:paraId="50C7B24B" w14:textId="77777777">
        <w:trPr/>
        <w:tc>
          <w:tcPr>
            <w:tcW w:w="5273" w:type="dxa"/>
            <w:tcMar/>
            <w:vAlign w:val="center"/>
          </w:tcPr>
          <w:p w:rsidRPr="00926D09" w:rsidR="00705194" w:rsidP="007C7282" w:rsidRDefault="00461642" w14:paraId="7558A777" w14:textId="451F3CFC">
            <w:pPr>
              <w:jc w:val="center"/>
              <w:rPr>
                <w:rFonts w:cstheme="minorHAnsi"/>
                <w:sz w:val="22"/>
                <w:szCs w:val="22"/>
              </w:rPr>
            </w:pPr>
            <w:r>
              <w:rPr>
                <w:rFonts w:cstheme="minorHAnsi"/>
                <w:sz w:val="22"/>
                <w:szCs w:val="22"/>
              </w:rPr>
              <w:t>Indiquer ce qui assure la cohésion dans un solide moléculaire.</w:t>
            </w:r>
          </w:p>
        </w:tc>
        <w:tc>
          <w:tcPr>
            <w:tcW w:w="284" w:type="dxa"/>
            <w:vMerge/>
            <w:tcMar/>
          </w:tcPr>
          <w:p w:rsidRPr="00926D09" w:rsidR="00705194" w:rsidP="00803B1D" w:rsidRDefault="00705194" w14:paraId="651D7065" w14:textId="77777777">
            <w:pPr>
              <w:rPr>
                <w:rFonts w:cstheme="minorHAnsi"/>
                <w:sz w:val="22"/>
                <w:szCs w:val="22"/>
              </w:rPr>
            </w:pPr>
          </w:p>
        </w:tc>
        <w:tc>
          <w:tcPr>
            <w:tcW w:w="5273" w:type="dxa"/>
            <w:tcMar/>
            <w:vAlign w:val="center"/>
          </w:tcPr>
          <w:p w:rsidRPr="007F081D" w:rsidR="00705194" w:rsidP="44B9C918" w:rsidRDefault="00461642" w14:paraId="356DCFBF" w14:textId="4E86EEC8">
            <w:pPr>
              <w:spacing w:before="120" w:after="120"/>
              <w:jc w:val="center"/>
              <w:rPr>
                <w:rFonts w:cs="Calibri" w:cstheme="minorAscii"/>
                <w:sz w:val="22"/>
                <w:szCs w:val="22"/>
              </w:rPr>
            </w:pPr>
            <w:r w:rsidRPr="44B9C918" w:rsidR="44B9C918">
              <w:rPr>
                <w:rFonts w:cs="Calibri" w:cstheme="minorAscii"/>
                <w:sz w:val="22"/>
                <w:szCs w:val="22"/>
              </w:rPr>
              <w:t xml:space="preserve">Ce sont les interactions de Van der Waals et (selon la molécule) les ponts </w:t>
            </w:r>
            <w:r w:rsidRPr="44B9C918" w:rsidR="44B9C918">
              <w:rPr>
                <w:rFonts w:cs="Calibri" w:cstheme="minorAscii"/>
                <w:sz w:val="22"/>
                <w:szCs w:val="22"/>
              </w:rPr>
              <w:t>hydrogène</w:t>
            </w:r>
            <w:r w:rsidRPr="44B9C918" w:rsidR="44B9C918">
              <w:rPr>
                <w:rFonts w:cs="Calibri" w:cstheme="minorAscii"/>
                <w:sz w:val="22"/>
                <w:szCs w:val="22"/>
              </w:rPr>
              <w:t xml:space="preserve"> entre les molécules qui assurent la cohésion.</w:t>
            </w:r>
          </w:p>
        </w:tc>
      </w:tr>
      <w:tr w:rsidR="00705194" w:rsidTr="44B9C918" w14:paraId="16C764F1" w14:textId="77777777">
        <w:trPr/>
        <w:tc>
          <w:tcPr>
            <w:tcW w:w="5273" w:type="dxa"/>
            <w:tcMar/>
            <w:vAlign w:val="center"/>
          </w:tcPr>
          <w:p w:rsidRPr="00926D09" w:rsidR="00705194" w:rsidP="007C7282" w:rsidRDefault="00461642" w14:paraId="180FD445" w14:textId="14DF3482">
            <w:pPr>
              <w:jc w:val="center"/>
              <w:rPr>
                <w:rFonts w:cstheme="minorHAnsi"/>
                <w:sz w:val="22"/>
                <w:szCs w:val="22"/>
              </w:rPr>
            </w:pPr>
            <w:r w:rsidRPr="00461642">
              <w:rPr>
                <w:rFonts w:cstheme="minorHAnsi"/>
                <w:sz w:val="22"/>
                <w:szCs w:val="22"/>
              </w:rPr>
              <w:t>Pourquoi l’eau est-elle capable de dissoudre des composés ioniques ?</w:t>
            </w:r>
          </w:p>
        </w:tc>
        <w:tc>
          <w:tcPr>
            <w:tcW w:w="284" w:type="dxa"/>
            <w:vMerge/>
            <w:tcMar/>
          </w:tcPr>
          <w:p w:rsidRPr="00926D09" w:rsidR="00705194" w:rsidP="00803B1D" w:rsidRDefault="00705194" w14:paraId="324F198F" w14:textId="77777777">
            <w:pPr>
              <w:rPr>
                <w:rFonts w:cstheme="minorHAnsi"/>
                <w:sz w:val="22"/>
                <w:szCs w:val="22"/>
              </w:rPr>
            </w:pPr>
          </w:p>
        </w:tc>
        <w:tc>
          <w:tcPr>
            <w:tcW w:w="5273" w:type="dxa"/>
            <w:tcMar/>
          </w:tcPr>
          <w:p w:rsidRPr="007F081D" w:rsidR="00705194" w:rsidP="00461642" w:rsidRDefault="00461642" w14:paraId="1F944929" w14:textId="013FCCF6">
            <w:pPr>
              <w:spacing w:before="120" w:after="120"/>
              <w:jc w:val="center"/>
              <w:rPr>
                <w:rFonts w:cstheme="minorHAnsi"/>
                <w:sz w:val="22"/>
                <w:szCs w:val="22"/>
              </w:rPr>
            </w:pPr>
            <w:r w:rsidRPr="00461642">
              <w:rPr>
                <w:rFonts w:cstheme="minorHAnsi"/>
                <w:sz w:val="22"/>
                <w:szCs w:val="22"/>
              </w:rPr>
              <w:t>L’eau est un solvant polaire : elle permet de rompre les interactions électrostatiques entre les ions d’un solide ionique et de stabiliser ces ions en solution grâce au processus de solvatation.</w:t>
            </w:r>
          </w:p>
        </w:tc>
      </w:tr>
      <w:tr w:rsidR="00705194" w:rsidTr="44B9C918" w14:paraId="00137B76" w14:textId="77777777">
        <w:trPr/>
        <w:tc>
          <w:tcPr>
            <w:tcW w:w="5273" w:type="dxa"/>
            <w:tcMar/>
            <w:vAlign w:val="center"/>
          </w:tcPr>
          <w:p w:rsidRPr="00926D09" w:rsidR="00705194" w:rsidP="44B9C918" w:rsidRDefault="00461642" w14:paraId="78C83685" w14:textId="21551CEF">
            <w:pPr>
              <w:jc w:val="center"/>
              <w:rPr>
                <w:rFonts w:cs="Calibri" w:cstheme="minorAscii"/>
                <w:sz w:val="22"/>
                <w:szCs w:val="22"/>
              </w:rPr>
            </w:pPr>
            <w:r w:rsidRPr="44B9C918" w:rsidR="44B9C918">
              <w:rPr>
                <w:rFonts w:cs="Calibri" w:cstheme="minorAscii"/>
                <w:sz w:val="22"/>
                <w:szCs w:val="22"/>
              </w:rPr>
              <w:t>Qu’est-ce que la solvatation ?</w:t>
            </w:r>
          </w:p>
        </w:tc>
        <w:tc>
          <w:tcPr>
            <w:tcW w:w="284" w:type="dxa"/>
            <w:vMerge/>
            <w:tcMar/>
          </w:tcPr>
          <w:p w:rsidRPr="00926D09" w:rsidR="00705194" w:rsidP="00503178" w:rsidRDefault="00705194" w14:paraId="33E093DD" w14:textId="77777777">
            <w:pPr>
              <w:rPr>
                <w:rFonts w:cstheme="minorHAnsi"/>
                <w:sz w:val="22"/>
                <w:szCs w:val="22"/>
              </w:rPr>
            </w:pPr>
          </w:p>
        </w:tc>
        <w:tc>
          <w:tcPr>
            <w:tcW w:w="5273" w:type="dxa"/>
            <w:tcMar/>
          </w:tcPr>
          <w:p w:rsidRPr="00926D09" w:rsidR="00705194" w:rsidP="44B9C918" w:rsidRDefault="004B3515" w14:paraId="49954F64" w14:textId="7EFFD90F">
            <w:pPr>
              <w:spacing w:before="120" w:after="120"/>
              <w:jc w:val="center"/>
              <w:rPr>
                <w:rFonts w:cs="Calibri" w:cstheme="minorAscii"/>
                <w:sz w:val="22"/>
                <w:szCs w:val="22"/>
              </w:rPr>
            </w:pPr>
            <w:r w:rsidRPr="44B9C918" w:rsidR="44B9C918">
              <w:rPr>
                <w:rFonts w:cs="Calibri" w:cstheme="minorAscii"/>
                <w:sz w:val="22"/>
                <w:szCs w:val="22"/>
              </w:rPr>
              <w:t>C’est le processus par lequel les molécules de solvant entourent les ions dissous, stabilisant ainsi l’espèce dissoute en solution.</w:t>
            </w:r>
          </w:p>
        </w:tc>
      </w:tr>
      <w:tr w:rsidR="00705194" w:rsidTr="44B9C918" w14:paraId="0FE2EC4D" w14:textId="77777777">
        <w:trPr/>
        <w:tc>
          <w:tcPr>
            <w:tcW w:w="5273" w:type="dxa"/>
            <w:tcMar/>
            <w:vAlign w:val="center"/>
          </w:tcPr>
          <w:p w:rsidRPr="00926D09" w:rsidR="00705194" w:rsidP="44B9C918" w:rsidRDefault="004B3515" w14:paraId="06DA4CA6" w14:textId="2C9E216F">
            <w:pPr>
              <w:spacing w:before="120" w:after="120"/>
              <w:jc w:val="center"/>
              <w:rPr>
                <w:rFonts w:cs="Calibri" w:cstheme="minorAscii"/>
                <w:sz w:val="22"/>
                <w:szCs w:val="22"/>
              </w:rPr>
            </w:pPr>
            <w:r w:rsidRPr="44B9C918">
              <w:rPr>
                <w:rFonts w:cs="Calibri" w:cstheme="minorAscii"/>
                <w:sz w:val="22"/>
                <w:szCs w:val="22"/>
              </w:rPr>
              <w:t xml:space="preserve">Donner </w:t>
            </w:r>
            <w:r w:rsidRPr="44B9C918">
              <w:rPr>
                <w:rFonts w:cs="Calibri" w:cstheme="minorAscii"/>
                <w:sz w:val="22"/>
                <w:szCs w:val="22"/>
              </w:rPr>
              <w:t xml:space="preserve">l’équation modélisant la </w:t>
            </w:r>
            <w:r w:rsidRPr="44B9C918">
              <w:rPr>
                <w:rFonts w:cs="Calibri" w:cstheme="minorAscii"/>
                <w:sz w:val="22"/>
                <w:szCs w:val="22"/>
              </w:rPr>
              <w:t xml:space="preserve">réaction de </w:t>
            </w:r>
            <w:r w:rsidRPr="44B9C918">
              <w:rPr>
                <w:rFonts w:cs="Calibri" w:cstheme="minorAscii"/>
                <w:sz w:val="22"/>
                <w:szCs w:val="22"/>
              </w:rPr>
              <w:t xml:space="preserve">dissolution de </w:t>
            </w:r>
            <w:r w:rsidRPr="44B9C918">
              <w:rPr>
                <w:rFonts w:cs="Calibri" w:cstheme="minorAscii"/>
                <w:sz w:val="22"/>
                <w:szCs w:val="22"/>
              </w:rPr>
              <w:t>MgC</w:t>
            </w:r>
            <m:oMath>
              <m:r>
                <m:rPr>
                  <m:scr m:val="script"/>
                </m:rPr>
                <w:rPr>
                  <w:rFonts w:ascii="Cambria Math" w:hAnsi="Cambria Math" w:cstheme="minorHAnsi"/>
                  <w:sz w:val="22"/>
                  <w:szCs w:val="22"/>
                </w:rPr>
                <m:t>l</m:t>
              </m:r>
            </m:oMath>
            <w:r w:rsidRPr="44B9C918">
              <w:rPr>
                <w:rFonts w:cs="Calibri" w:cstheme="minorAscii"/>
                <w:sz w:val="22"/>
                <w:szCs w:val="22"/>
              </w:rPr>
              <w:t>₂ dans l’eau</w:t>
            </w:r>
            <w:r w:rsidRPr="44B9C918" w:rsidR="002A184E">
              <w:rPr>
                <w:rFonts w:cs="Calibri" w:cstheme="minorAscii"/>
                <w:sz w:val="22"/>
                <w:szCs w:val="22"/>
              </w:rPr>
              <w:t>.</w:t>
            </w:r>
          </w:p>
        </w:tc>
        <w:tc>
          <w:tcPr>
            <w:tcW w:w="284" w:type="dxa"/>
            <w:vMerge/>
            <w:tcMar/>
          </w:tcPr>
          <w:p w:rsidRPr="00926D09" w:rsidR="00705194" w:rsidP="00503178" w:rsidRDefault="00705194" w14:paraId="7FBB2297" w14:textId="77777777">
            <w:pPr>
              <w:rPr>
                <w:rFonts w:cstheme="minorHAnsi"/>
                <w:sz w:val="22"/>
                <w:szCs w:val="22"/>
              </w:rPr>
            </w:pPr>
          </w:p>
        </w:tc>
        <w:tc>
          <w:tcPr>
            <w:tcW w:w="5273" w:type="dxa"/>
            <w:tcMar/>
            <w:vAlign w:val="center"/>
          </w:tcPr>
          <w:p w:rsidRPr="004B3515" w:rsidR="00705194" w:rsidP="004B3515" w:rsidRDefault="004B3515" w14:paraId="492AF417" w14:textId="09BD395B">
            <w:pPr>
              <w:spacing w:before="120" w:after="120"/>
              <w:jc w:val="center"/>
              <w:rPr>
                <w:rFonts w:cstheme="minorHAnsi"/>
                <w:sz w:val="22"/>
                <w:szCs w:val="22"/>
              </w:rPr>
            </w:pPr>
            <w:proofErr w:type="spellStart"/>
            <w:r w:rsidRPr="004B3515">
              <w:rPr>
                <w:rFonts w:cstheme="minorHAnsi"/>
                <w:sz w:val="22"/>
                <w:szCs w:val="22"/>
              </w:rPr>
              <w:t>MgC</w:t>
            </w:r>
            <w:proofErr w:type="spellEnd"/>
            <m:oMath>
              <m:r>
                <m:rPr>
                  <m:scr m:val="script"/>
                </m:rPr>
                <w:rPr>
                  <w:rFonts w:ascii="Cambria Math" w:hAnsi="Cambria Math" w:cstheme="minorHAnsi"/>
                  <w:sz w:val="22"/>
                  <w:szCs w:val="22"/>
                </w:rPr>
                <m:t>l</m:t>
              </m:r>
            </m:oMath>
            <w:r w:rsidRPr="004B3515">
              <w:rPr>
                <w:rFonts w:cstheme="minorHAnsi"/>
                <w:sz w:val="22"/>
                <w:szCs w:val="22"/>
              </w:rPr>
              <w:t>₂ (s) → Mg²⁺ (aq) + 2 C</w:t>
            </w:r>
            <m:oMath>
              <m:r>
                <m:rPr>
                  <m:scr m:val="script"/>
                </m:rPr>
                <w:rPr>
                  <w:rFonts w:ascii="Cambria Math" w:hAnsi="Cambria Math" w:cstheme="minorHAnsi"/>
                  <w:sz w:val="22"/>
                  <w:szCs w:val="22"/>
                </w:rPr>
                <m:t>l</m:t>
              </m:r>
            </m:oMath>
            <w:r w:rsidRPr="004B3515">
              <w:rPr>
                <w:rFonts w:cstheme="minorHAnsi"/>
                <w:sz w:val="22"/>
                <w:szCs w:val="22"/>
              </w:rPr>
              <w:t>⁻ (aq)</w:t>
            </w:r>
          </w:p>
        </w:tc>
      </w:tr>
      <w:tr w:rsidR="00705194" w:rsidTr="44B9C918" w14:paraId="174996DD" w14:textId="77777777">
        <w:trPr>
          <w:trHeight w:val="600"/>
        </w:trPr>
        <w:tc>
          <w:tcPr>
            <w:tcW w:w="5273" w:type="dxa"/>
            <w:tcMar/>
            <w:vAlign w:val="center"/>
          </w:tcPr>
          <w:p w:rsidRPr="00926D09" w:rsidR="00705194" w:rsidP="004B3515" w:rsidRDefault="004B3515" w14:paraId="4D3C8270" w14:textId="459686DC">
            <w:pPr>
              <w:spacing w:before="120" w:after="120"/>
              <w:jc w:val="center"/>
              <w:rPr>
                <w:rFonts w:cstheme="minorHAnsi"/>
                <w:sz w:val="22"/>
                <w:szCs w:val="22"/>
              </w:rPr>
            </w:pPr>
            <w:r w:rsidRPr="004B3515">
              <w:rPr>
                <w:rFonts w:cstheme="minorHAnsi"/>
                <w:sz w:val="22"/>
                <w:szCs w:val="22"/>
              </w:rPr>
              <w:t xml:space="preserve">Comment calcule-t-on la concentration </w:t>
            </w:r>
            <w:r>
              <w:rPr>
                <w:rFonts w:cstheme="minorHAnsi"/>
                <w:sz w:val="22"/>
                <w:szCs w:val="22"/>
              </w:rPr>
              <w:t>en quantité de matière</w:t>
            </w:r>
            <w:r w:rsidRPr="004B3515">
              <w:rPr>
                <w:rFonts w:cstheme="minorHAnsi"/>
                <w:sz w:val="22"/>
                <w:szCs w:val="22"/>
              </w:rPr>
              <w:t xml:space="preserve"> d’un ion issu d’un soluté ionique dissous </w:t>
            </w:r>
            <w:r>
              <w:rPr>
                <w:rFonts w:cstheme="minorHAnsi"/>
                <w:sz w:val="22"/>
                <w:szCs w:val="22"/>
              </w:rPr>
              <w:t xml:space="preserve">en totalité </w:t>
            </w:r>
            <w:r w:rsidRPr="004B3515">
              <w:rPr>
                <w:rFonts w:cstheme="minorHAnsi"/>
                <w:sz w:val="22"/>
                <w:szCs w:val="22"/>
              </w:rPr>
              <w:t>?</w:t>
            </w:r>
          </w:p>
        </w:tc>
        <w:tc>
          <w:tcPr>
            <w:tcW w:w="284" w:type="dxa"/>
            <w:vMerge/>
            <w:tcMar/>
          </w:tcPr>
          <w:p w:rsidRPr="00926D09" w:rsidR="00705194" w:rsidP="00503178" w:rsidRDefault="00705194" w14:paraId="2564E572" w14:textId="77777777">
            <w:pPr>
              <w:rPr>
                <w:rFonts w:cstheme="minorHAnsi"/>
                <w:sz w:val="22"/>
                <w:szCs w:val="22"/>
              </w:rPr>
            </w:pPr>
          </w:p>
        </w:tc>
        <w:tc>
          <w:tcPr>
            <w:tcW w:w="5273" w:type="dxa"/>
            <w:tcMar/>
            <w:vAlign w:val="center"/>
          </w:tcPr>
          <w:p w:rsidRPr="00EF4651" w:rsidR="00705194" w:rsidP="44B9C918" w:rsidRDefault="004B3515" w14:paraId="2AC30954" w14:textId="17856130">
            <w:pPr>
              <w:jc w:val="center"/>
              <w:rPr>
                <w:rFonts w:cs="Calibri" w:cstheme="minorAscii"/>
                <w:sz w:val="22"/>
                <w:szCs w:val="22"/>
                <w:highlight w:val="yellow"/>
              </w:rPr>
            </w:pPr>
            <w:r w:rsidRPr="44B9C918" w:rsidR="44B9C918">
              <w:rPr>
                <w:rFonts w:cs="Calibri" w:cstheme="minorAscii"/>
                <w:sz w:val="22"/>
                <w:szCs w:val="22"/>
              </w:rPr>
              <w:t xml:space="preserve">On multiplie la concentration du soluté dissous par le nombre stœchiométrique de l’ion. Par exemple, lorsque l’on dissout du chlorure de magnésium dans l’eau, la concentration en ions chlorure est le double de la concentration en soluté apporté. </w:t>
            </w:r>
          </w:p>
        </w:tc>
      </w:tr>
      <w:tr w:rsidR="00705194" w:rsidTr="44B9C918" w14:paraId="2F145AB0" w14:textId="77777777">
        <w:trPr/>
        <w:tc>
          <w:tcPr>
            <w:tcW w:w="5273" w:type="dxa"/>
            <w:tcMar/>
            <w:vAlign w:val="center"/>
          </w:tcPr>
          <w:p w:rsidRPr="00EF4651" w:rsidR="00705194" w:rsidP="00180F7C" w:rsidRDefault="00180F7C" w14:paraId="4283C34B" w14:textId="414DE02C">
            <w:pPr>
              <w:jc w:val="center"/>
              <w:rPr>
                <w:rFonts w:cstheme="minorHAnsi"/>
                <w:sz w:val="22"/>
                <w:szCs w:val="22"/>
              </w:rPr>
            </w:pPr>
            <w:r w:rsidRPr="00180F7C">
              <w:rPr>
                <w:rFonts w:cstheme="minorHAnsi"/>
                <w:sz w:val="22"/>
                <w:szCs w:val="22"/>
              </w:rPr>
              <w:t>En quoi consiste une extraction liquide-liquide ?</w:t>
            </w:r>
          </w:p>
        </w:tc>
        <w:tc>
          <w:tcPr>
            <w:tcW w:w="284" w:type="dxa"/>
            <w:vMerge/>
            <w:tcMar/>
          </w:tcPr>
          <w:p w:rsidRPr="00926D09" w:rsidR="00705194" w:rsidP="00503178" w:rsidRDefault="00705194" w14:paraId="53E7FB6C" w14:textId="77777777">
            <w:pPr>
              <w:rPr>
                <w:rFonts w:cstheme="minorHAnsi"/>
                <w:sz w:val="22"/>
                <w:szCs w:val="22"/>
              </w:rPr>
            </w:pPr>
          </w:p>
        </w:tc>
        <w:tc>
          <w:tcPr>
            <w:tcW w:w="5273" w:type="dxa"/>
            <w:tcMar/>
          </w:tcPr>
          <w:p w:rsidRPr="00EF4651" w:rsidR="00705194" w:rsidP="00EF4651" w:rsidRDefault="00180F7C" w14:paraId="05A53CA6" w14:textId="616EB8E7">
            <w:pPr>
              <w:spacing w:before="120" w:after="120"/>
              <w:jc w:val="both"/>
              <w:rPr>
                <w:rFonts w:cstheme="minorHAnsi"/>
                <w:sz w:val="22"/>
                <w:szCs w:val="22"/>
              </w:rPr>
            </w:pPr>
            <w:r w:rsidRPr="00180F7C">
              <w:rPr>
                <w:rFonts w:cstheme="minorHAnsi"/>
                <w:sz w:val="22"/>
                <w:szCs w:val="22"/>
              </w:rPr>
              <w:t>Il s’agit de transférer un soluté dissous dans un solvant A vers un solvant B (non miscible avec A), en exploitant sa plus grande solubilité dans l’un des deux solvants.</w:t>
            </w:r>
          </w:p>
        </w:tc>
      </w:tr>
      <w:tr w:rsidR="00705194" w:rsidTr="44B9C918" w14:paraId="3B375DE2" w14:textId="77777777">
        <w:trPr/>
        <w:tc>
          <w:tcPr>
            <w:tcW w:w="5273" w:type="dxa"/>
            <w:tcMar/>
            <w:vAlign w:val="center"/>
          </w:tcPr>
          <w:p w:rsidRPr="00926D09" w:rsidR="00705194" w:rsidP="00503178" w:rsidRDefault="00312BC4" w14:paraId="7FD47845" w14:textId="10FA6505">
            <w:pPr>
              <w:jc w:val="center"/>
              <w:rPr>
                <w:rFonts w:cstheme="minorHAnsi"/>
                <w:sz w:val="22"/>
                <w:szCs w:val="22"/>
              </w:rPr>
            </w:pPr>
            <w:r w:rsidRPr="00312BC4">
              <w:rPr>
                <w:rFonts w:cstheme="minorHAnsi"/>
                <w:sz w:val="22"/>
                <w:szCs w:val="22"/>
              </w:rPr>
              <w:t>Quels sont les critères pour choisir un solvant pour extraction liquide-liquide ?</w:t>
            </w:r>
          </w:p>
        </w:tc>
        <w:tc>
          <w:tcPr>
            <w:tcW w:w="284" w:type="dxa"/>
            <w:vMerge/>
            <w:tcMar/>
          </w:tcPr>
          <w:p w:rsidRPr="00926D09" w:rsidR="00705194" w:rsidP="00503178" w:rsidRDefault="00705194" w14:paraId="1516DF89" w14:textId="77777777">
            <w:pPr>
              <w:rPr>
                <w:rFonts w:cstheme="minorHAnsi"/>
                <w:sz w:val="22"/>
                <w:szCs w:val="22"/>
              </w:rPr>
            </w:pPr>
          </w:p>
        </w:tc>
        <w:tc>
          <w:tcPr>
            <w:tcW w:w="5273" w:type="dxa"/>
            <w:tcMar/>
          </w:tcPr>
          <w:p w:rsidRPr="00312BC4" w:rsidR="00312BC4" w:rsidP="00312BC4" w:rsidRDefault="00312BC4" w14:paraId="5A6D7338" w14:textId="77777777">
            <w:pPr>
              <w:pStyle w:val="Paragraphedeliste"/>
              <w:numPr>
                <w:ilvl w:val="0"/>
                <w:numId w:val="8"/>
              </w:numPr>
              <w:spacing w:before="120" w:after="120"/>
              <w:ind w:left="284" w:hanging="284"/>
              <w:jc w:val="both"/>
              <w:rPr>
                <w:rFonts w:cstheme="minorHAnsi"/>
                <w:sz w:val="22"/>
                <w:szCs w:val="22"/>
              </w:rPr>
            </w:pPr>
            <w:r w:rsidRPr="00312BC4">
              <w:rPr>
                <w:rFonts w:cstheme="minorHAnsi"/>
                <w:sz w:val="22"/>
                <w:szCs w:val="22"/>
              </w:rPr>
              <w:t>le solvant extracteur et le solvant initial doivent être non miscibles ;</w:t>
            </w:r>
          </w:p>
          <w:p w:rsidRPr="00312BC4" w:rsidR="00312BC4" w:rsidP="00312BC4" w:rsidRDefault="00312BC4" w14:paraId="33EA1811" w14:textId="77777777">
            <w:pPr>
              <w:pStyle w:val="Paragraphedeliste"/>
              <w:numPr>
                <w:ilvl w:val="0"/>
                <w:numId w:val="8"/>
              </w:numPr>
              <w:spacing w:after="120"/>
              <w:ind w:left="284" w:hanging="284"/>
              <w:jc w:val="both"/>
              <w:rPr>
                <w:rFonts w:cstheme="minorHAnsi"/>
                <w:sz w:val="22"/>
                <w:szCs w:val="22"/>
              </w:rPr>
            </w:pPr>
            <w:r w:rsidRPr="00312BC4">
              <w:rPr>
                <w:rFonts w:cstheme="minorHAnsi"/>
                <w:sz w:val="22"/>
                <w:szCs w:val="22"/>
              </w:rPr>
              <w:t>l’espèce à extraire doit être plus soluble dans le solvant extracteur que dans le solvant initial. Les autres espèces présentes doivent, idéalement, rester dans le solvant d’origine ;</w:t>
            </w:r>
          </w:p>
          <w:p w:rsidRPr="00312BC4" w:rsidR="0052671A" w:rsidP="00312BC4" w:rsidRDefault="00312BC4" w14:paraId="298A56F9" w14:textId="4AF15E32">
            <w:pPr>
              <w:pStyle w:val="Paragraphedeliste"/>
              <w:numPr>
                <w:ilvl w:val="0"/>
                <w:numId w:val="8"/>
              </w:numPr>
              <w:spacing w:after="120"/>
              <w:ind w:left="284" w:hanging="284"/>
              <w:jc w:val="both"/>
              <w:rPr>
                <w:rFonts w:cstheme="minorHAnsi"/>
                <w:sz w:val="22"/>
                <w:szCs w:val="22"/>
              </w:rPr>
            </w:pPr>
            <w:r w:rsidRPr="00312BC4">
              <w:rPr>
                <w:rFonts w:cstheme="minorHAnsi"/>
                <w:sz w:val="22"/>
                <w:szCs w:val="22"/>
              </w:rPr>
              <w:t>en cas d’hésitation entre plusieurs solvants extracteurs possibles, on choisira le moins dangereux pour la santé humaine et pour l’environnement.</w:t>
            </w:r>
          </w:p>
        </w:tc>
      </w:tr>
    </w:tbl>
    <w:p w:rsidR="00926D09" w:rsidP="0052671A" w:rsidRDefault="00926D09" w14:paraId="5CCC7907" w14:textId="77777777"/>
    <w:sectPr w:rsidR="00926D09" w:rsidSect="00803B1D">
      <w:pgSz w:w="11906" w:h="16838" w:orient="portrait"/>
      <w:pgMar w:top="680" w:right="680" w:bottom="737" w:left="6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55D7F"/>
    <w:multiLevelType w:val="hybridMultilevel"/>
    <w:tmpl w:val="145EA44A"/>
    <w:lvl w:ilvl="0" w:tplc="040C0001">
      <w:start w:val="1"/>
      <w:numFmt w:val="bullet"/>
      <w:lvlText w:val=""/>
      <w:lvlJc w:val="left"/>
      <w:pPr>
        <w:ind w:left="1080" w:hanging="360"/>
      </w:pPr>
      <w:rPr>
        <w:rFonts w:hint="default" w:ascii="Symbol" w:hAnsi="Symbol"/>
      </w:rPr>
    </w:lvl>
    <w:lvl w:ilvl="1" w:tplc="040C0003" w:tentative="1">
      <w:start w:val="1"/>
      <w:numFmt w:val="bullet"/>
      <w:lvlText w:val="o"/>
      <w:lvlJc w:val="left"/>
      <w:pPr>
        <w:ind w:left="1800" w:hanging="360"/>
      </w:pPr>
      <w:rPr>
        <w:rFonts w:hint="default" w:ascii="Courier New" w:hAnsi="Courier New" w:cs="Courier New"/>
      </w:rPr>
    </w:lvl>
    <w:lvl w:ilvl="2" w:tplc="040C0005" w:tentative="1">
      <w:start w:val="1"/>
      <w:numFmt w:val="bullet"/>
      <w:lvlText w:val=""/>
      <w:lvlJc w:val="left"/>
      <w:pPr>
        <w:ind w:left="2520" w:hanging="360"/>
      </w:pPr>
      <w:rPr>
        <w:rFonts w:hint="default" w:ascii="Wingdings" w:hAnsi="Wingdings"/>
      </w:rPr>
    </w:lvl>
    <w:lvl w:ilvl="3" w:tplc="040C0001" w:tentative="1">
      <w:start w:val="1"/>
      <w:numFmt w:val="bullet"/>
      <w:lvlText w:val=""/>
      <w:lvlJc w:val="left"/>
      <w:pPr>
        <w:ind w:left="3240" w:hanging="360"/>
      </w:pPr>
      <w:rPr>
        <w:rFonts w:hint="default" w:ascii="Symbol" w:hAnsi="Symbol"/>
      </w:rPr>
    </w:lvl>
    <w:lvl w:ilvl="4" w:tplc="040C0003" w:tentative="1">
      <w:start w:val="1"/>
      <w:numFmt w:val="bullet"/>
      <w:lvlText w:val="o"/>
      <w:lvlJc w:val="left"/>
      <w:pPr>
        <w:ind w:left="3960" w:hanging="360"/>
      </w:pPr>
      <w:rPr>
        <w:rFonts w:hint="default" w:ascii="Courier New" w:hAnsi="Courier New" w:cs="Courier New"/>
      </w:rPr>
    </w:lvl>
    <w:lvl w:ilvl="5" w:tplc="040C0005" w:tentative="1">
      <w:start w:val="1"/>
      <w:numFmt w:val="bullet"/>
      <w:lvlText w:val=""/>
      <w:lvlJc w:val="left"/>
      <w:pPr>
        <w:ind w:left="4680" w:hanging="360"/>
      </w:pPr>
      <w:rPr>
        <w:rFonts w:hint="default" w:ascii="Wingdings" w:hAnsi="Wingdings"/>
      </w:rPr>
    </w:lvl>
    <w:lvl w:ilvl="6" w:tplc="040C0001" w:tentative="1">
      <w:start w:val="1"/>
      <w:numFmt w:val="bullet"/>
      <w:lvlText w:val=""/>
      <w:lvlJc w:val="left"/>
      <w:pPr>
        <w:ind w:left="5400" w:hanging="360"/>
      </w:pPr>
      <w:rPr>
        <w:rFonts w:hint="default" w:ascii="Symbol" w:hAnsi="Symbol"/>
      </w:rPr>
    </w:lvl>
    <w:lvl w:ilvl="7" w:tplc="040C0003" w:tentative="1">
      <w:start w:val="1"/>
      <w:numFmt w:val="bullet"/>
      <w:lvlText w:val="o"/>
      <w:lvlJc w:val="left"/>
      <w:pPr>
        <w:ind w:left="6120" w:hanging="360"/>
      </w:pPr>
      <w:rPr>
        <w:rFonts w:hint="default" w:ascii="Courier New" w:hAnsi="Courier New" w:cs="Courier New"/>
      </w:rPr>
    </w:lvl>
    <w:lvl w:ilvl="8" w:tplc="040C0005" w:tentative="1">
      <w:start w:val="1"/>
      <w:numFmt w:val="bullet"/>
      <w:lvlText w:val=""/>
      <w:lvlJc w:val="left"/>
      <w:pPr>
        <w:ind w:left="6840" w:hanging="360"/>
      </w:pPr>
      <w:rPr>
        <w:rFonts w:hint="default" w:ascii="Wingdings" w:hAnsi="Wingdings"/>
      </w:rPr>
    </w:lvl>
  </w:abstractNum>
  <w:abstractNum w:abstractNumId="1" w15:restartNumberingAfterBreak="0">
    <w:nsid w:val="169A51CF"/>
    <w:multiLevelType w:val="multilevel"/>
    <w:tmpl w:val="9120E9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9BA226A"/>
    <w:multiLevelType w:val="multilevel"/>
    <w:tmpl w:val="DC80C0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A5A21EB"/>
    <w:multiLevelType w:val="hybridMultilevel"/>
    <w:tmpl w:val="C226E6F8"/>
    <w:lvl w:ilvl="0" w:tplc="040C0001">
      <w:start w:val="1"/>
      <w:numFmt w:val="bullet"/>
      <w:lvlText w:val=""/>
      <w:lvlJc w:val="left"/>
      <w:pPr>
        <w:ind w:left="1080" w:hanging="360"/>
      </w:pPr>
      <w:rPr>
        <w:rFonts w:hint="default" w:ascii="Symbol" w:hAnsi="Symbol"/>
      </w:rPr>
    </w:lvl>
    <w:lvl w:ilvl="1" w:tplc="040C0003" w:tentative="1">
      <w:start w:val="1"/>
      <w:numFmt w:val="bullet"/>
      <w:lvlText w:val="o"/>
      <w:lvlJc w:val="left"/>
      <w:pPr>
        <w:ind w:left="1800" w:hanging="360"/>
      </w:pPr>
      <w:rPr>
        <w:rFonts w:hint="default" w:ascii="Courier New" w:hAnsi="Courier New" w:cs="Courier New"/>
      </w:rPr>
    </w:lvl>
    <w:lvl w:ilvl="2" w:tplc="040C0005" w:tentative="1">
      <w:start w:val="1"/>
      <w:numFmt w:val="bullet"/>
      <w:lvlText w:val=""/>
      <w:lvlJc w:val="left"/>
      <w:pPr>
        <w:ind w:left="2520" w:hanging="360"/>
      </w:pPr>
      <w:rPr>
        <w:rFonts w:hint="default" w:ascii="Wingdings" w:hAnsi="Wingdings"/>
      </w:rPr>
    </w:lvl>
    <w:lvl w:ilvl="3" w:tplc="040C0001" w:tentative="1">
      <w:start w:val="1"/>
      <w:numFmt w:val="bullet"/>
      <w:lvlText w:val=""/>
      <w:lvlJc w:val="left"/>
      <w:pPr>
        <w:ind w:left="3240" w:hanging="360"/>
      </w:pPr>
      <w:rPr>
        <w:rFonts w:hint="default" w:ascii="Symbol" w:hAnsi="Symbol"/>
      </w:rPr>
    </w:lvl>
    <w:lvl w:ilvl="4" w:tplc="040C0003" w:tentative="1">
      <w:start w:val="1"/>
      <w:numFmt w:val="bullet"/>
      <w:lvlText w:val="o"/>
      <w:lvlJc w:val="left"/>
      <w:pPr>
        <w:ind w:left="3960" w:hanging="360"/>
      </w:pPr>
      <w:rPr>
        <w:rFonts w:hint="default" w:ascii="Courier New" w:hAnsi="Courier New" w:cs="Courier New"/>
      </w:rPr>
    </w:lvl>
    <w:lvl w:ilvl="5" w:tplc="040C0005" w:tentative="1">
      <w:start w:val="1"/>
      <w:numFmt w:val="bullet"/>
      <w:lvlText w:val=""/>
      <w:lvlJc w:val="left"/>
      <w:pPr>
        <w:ind w:left="4680" w:hanging="360"/>
      </w:pPr>
      <w:rPr>
        <w:rFonts w:hint="default" w:ascii="Wingdings" w:hAnsi="Wingdings"/>
      </w:rPr>
    </w:lvl>
    <w:lvl w:ilvl="6" w:tplc="040C0001" w:tentative="1">
      <w:start w:val="1"/>
      <w:numFmt w:val="bullet"/>
      <w:lvlText w:val=""/>
      <w:lvlJc w:val="left"/>
      <w:pPr>
        <w:ind w:left="5400" w:hanging="360"/>
      </w:pPr>
      <w:rPr>
        <w:rFonts w:hint="default" w:ascii="Symbol" w:hAnsi="Symbol"/>
      </w:rPr>
    </w:lvl>
    <w:lvl w:ilvl="7" w:tplc="040C0003" w:tentative="1">
      <w:start w:val="1"/>
      <w:numFmt w:val="bullet"/>
      <w:lvlText w:val="o"/>
      <w:lvlJc w:val="left"/>
      <w:pPr>
        <w:ind w:left="6120" w:hanging="360"/>
      </w:pPr>
      <w:rPr>
        <w:rFonts w:hint="default" w:ascii="Courier New" w:hAnsi="Courier New" w:cs="Courier New"/>
      </w:rPr>
    </w:lvl>
    <w:lvl w:ilvl="8" w:tplc="040C0005" w:tentative="1">
      <w:start w:val="1"/>
      <w:numFmt w:val="bullet"/>
      <w:lvlText w:val=""/>
      <w:lvlJc w:val="left"/>
      <w:pPr>
        <w:ind w:left="6840" w:hanging="360"/>
      </w:pPr>
      <w:rPr>
        <w:rFonts w:hint="default" w:ascii="Wingdings" w:hAnsi="Wingdings"/>
      </w:rPr>
    </w:lvl>
  </w:abstractNum>
  <w:abstractNum w:abstractNumId="4" w15:restartNumberingAfterBreak="0">
    <w:nsid w:val="1FED0E76"/>
    <w:multiLevelType w:val="hybridMultilevel"/>
    <w:tmpl w:val="C3DEC808"/>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5" w15:restartNumberingAfterBreak="0">
    <w:nsid w:val="35B52D00"/>
    <w:multiLevelType w:val="hybridMultilevel"/>
    <w:tmpl w:val="217E58E6"/>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6" w15:restartNumberingAfterBreak="0">
    <w:nsid w:val="3E6728DD"/>
    <w:multiLevelType w:val="multilevel"/>
    <w:tmpl w:val="A37674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4E4C05D8"/>
    <w:multiLevelType w:val="multilevel"/>
    <w:tmpl w:val="46F0D266"/>
    <w:lvl w:ilvl="0">
      <w:start w:val="1"/>
      <w:numFmt w:val="bullet"/>
      <w:lvlText w:val=""/>
      <w:lvlJc w:val="left"/>
      <w:pPr>
        <w:tabs>
          <w:tab w:val="num" w:pos="720"/>
        </w:tabs>
        <w:ind w:left="284" w:hanging="284"/>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54190BD6"/>
    <w:multiLevelType w:val="multilevel"/>
    <w:tmpl w:val="A72253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575B7B52"/>
    <w:multiLevelType w:val="hybridMultilevel"/>
    <w:tmpl w:val="8B887E0A"/>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0" w15:restartNumberingAfterBreak="0">
    <w:nsid w:val="68A12651"/>
    <w:multiLevelType w:val="hybridMultilevel"/>
    <w:tmpl w:val="6F72E216"/>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1" w15:restartNumberingAfterBreak="0">
    <w:nsid w:val="72A62343"/>
    <w:multiLevelType w:val="hybridMultilevel"/>
    <w:tmpl w:val="FD123B58"/>
    <w:lvl w:ilvl="0" w:tplc="040C0001">
      <w:start w:val="1"/>
      <w:numFmt w:val="bullet"/>
      <w:lvlText w:val=""/>
      <w:lvlJc w:val="left"/>
      <w:pPr>
        <w:ind w:left="1080" w:hanging="360"/>
      </w:pPr>
      <w:rPr>
        <w:rFonts w:hint="default" w:ascii="Symbol" w:hAnsi="Symbol"/>
      </w:rPr>
    </w:lvl>
    <w:lvl w:ilvl="1" w:tplc="040C0003" w:tentative="1">
      <w:start w:val="1"/>
      <w:numFmt w:val="bullet"/>
      <w:lvlText w:val="o"/>
      <w:lvlJc w:val="left"/>
      <w:pPr>
        <w:ind w:left="1800" w:hanging="360"/>
      </w:pPr>
      <w:rPr>
        <w:rFonts w:hint="default" w:ascii="Courier New" w:hAnsi="Courier New" w:cs="Courier New"/>
      </w:rPr>
    </w:lvl>
    <w:lvl w:ilvl="2" w:tplc="040C0005" w:tentative="1">
      <w:start w:val="1"/>
      <w:numFmt w:val="bullet"/>
      <w:lvlText w:val=""/>
      <w:lvlJc w:val="left"/>
      <w:pPr>
        <w:ind w:left="2520" w:hanging="360"/>
      </w:pPr>
      <w:rPr>
        <w:rFonts w:hint="default" w:ascii="Wingdings" w:hAnsi="Wingdings"/>
      </w:rPr>
    </w:lvl>
    <w:lvl w:ilvl="3" w:tplc="040C0001" w:tentative="1">
      <w:start w:val="1"/>
      <w:numFmt w:val="bullet"/>
      <w:lvlText w:val=""/>
      <w:lvlJc w:val="left"/>
      <w:pPr>
        <w:ind w:left="3240" w:hanging="360"/>
      </w:pPr>
      <w:rPr>
        <w:rFonts w:hint="default" w:ascii="Symbol" w:hAnsi="Symbol"/>
      </w:rPr>
    </w:lvl>
    <w:lvl w:ilvl="4" w:tplc="040C0003" w:tentative="1">
      <w:start w:val="1"/>
      <w:numFmt w:val="bullet"/>
      <w:lvlText w:val="o"/>
      <w:lvlJc w:val="left"/>
      <w:pPr>
        <w:ind w:left="3960" w:hanging="360"/>
      </w:pPr>
      <w:rPr>
        <w:rFonts w:hint="default" w:ascii="Courier New" w:hAnsi="Courier New" w:cs="Courier New"/>
      </w:rPr>
    </w:lvl>
    <w:lvl w:ilvl="5" w:tplc="040C0005" w:tentative="1">
      <w:start w:val="1"/>
      <w:numFmt w:val="bullet"/>
      <w:lvlText w:val=""/>
      <w:lvlJc w:val="left"/>
      <w:pPr>
        <w:ind w:left="4680" w:hanging="360"/>
      </w:pPr>
      <w:rPr>
        <w:rFonts w:hint="default" w:ascii="Wingdings" w:hAnsi="Wingdings"/>
      </w:rPr>
    </w:lvl>
    <w:lvl w:ilvl="6" w:tplc="040C0001" w:tentative="1">
      <w:start w:val="1"/>
      <w:numFmt w:val="bullet"/>
      <w:lvlText w:val=""/>
      <w:lvlJc w:val="left"/>
      <w:pPr>
        <w:ind w:left="5400" w:hanging="360"/>
      </w:pPr>
      <w:rPr>
        <w:rFonts w:hint="default" w:ascii="Symbol" w:hAnsi="Symbol"/>
      </w:rPr>
    </w:lvl>
    <w:lvl w:ilvl="7" w:tplc="040C0003" w:tentative="1">
      <w:start w:val="1"/>
      <w:numFmt w:val="bullet"/>
      <w:lvlText w:val="o"/>
      <w:lvlJc w:val="left"/>
      <w:pPr>
        <w:ind w:left="6120" w:hanging="360"/>
      </w:pPr>
      <w:rPr>
        <w:rFonts w:hint="default" w:ascii="Courier New" w:hAnsi="Courier New" w:cs="Courier New"/>
      </w:rPr>
    </w:lvl>
    <w:lvl w:ilvl="8" w:tplc="040C0005" w:tentative="1">
      <w:start w:val="1"/>
      <w:numFmt w:val="bullet"/>
      <w:lvlText w:val=""/>
      <w:lvlJc w:val="left"/>
      <w:pPr>
        <w:ind w:left="6840" w:hanging="360"/>
      </w:pPr>
      <w:rPr>
        <w:rFonts w:hint="default" w:ascii="Wingdings" w:hAnsi="Wingdings"/>
      </w:rPr>
    </w:lvl>
  </w:abstractNum>
  <w:abstractNum w:abstractNumId="12" w15:restartNumberingAfterBreak="0">
    <w:nsid w:val="75797534"/>
    <w:multiLevelType w:val="multilevel"/>
    <w:tmpl w:val="45868A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7A160000"/>
    <w:multiLevelType w:val="hybridMultilevel"/>
    <w:tmpl w:val="65CEE940"/>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4" w15:restartNumberingAfterBreak="0">
    <w:nsid w:val="7CF46DB0"/>
    <w:multiLevelType w:val="hybridMultilevel"/>
    <w:tmpl w:val="413AA3BA"/>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num w:numId="1" w16cid:durableId="102189354">
    <w:abstractNumId w:val="14"/>
  </w:num>
  <w:num w:numId="2" w16cid:durableId="46730372">
    <w:abstractNumId w:val="2"/>
  </w:num>
  <w:num w:numId="3" w16cid:durableId="1451632922">
    <w:abstractNumId w:val="6"/>
  </w:num>
  <w:num w:numId="4" w16cid:durableId="1245724528">
    <w:abstractNumId w:val="12"/>
  </w:num>
  <w:num w:numId="5" w16cid:durableId="1106652348">
    <w:abstractNumId w:val="1"/>
  </w:num>
  <w:num w:numId="6" w16cid:durableId="79959317">
    <w:abstractNumId w:val="10"/>
  </w:num>
  <w:num w:numId="7" w16cid:durableId="1016008051">
    <w:abstractNumId w:val="4"/>
  </w:num>
  <w:num w:numId="8" w16cid:durableId="227107007">
    <w:abstractNumId w:val="9"/>
  </w:num>
  <w:num w:numId="9" w16cid:durableId="1842693237">
    <w:abstractNumId w:val="13"/>
  </w:num>
  <w:num w:numId="10" w16cid:durableId="1792817422">
    <w:abstractNumId w:val="3"/>
  </w:num>
  <w:num w:numId="11" w16cid:durableId="2050322">
    <w:abstractNumId w:val="11"/>
  </w:num>
  <w:num w:numId="12" w16cid:durableId="1181355442">
    <w:abstractNumId w:val="0"/>
  </w:num>
  <w:num w:numId="13" w16cid:durableId="790978590">
    <w:abstractNumId w:val="5"/>
  </w:num>
  <w:num w:numId="14" w16cid:durableId="300891591">
    <w:abstractNumId w:val="7"/>
  </w:num>
  <w:num w:numId="15" w16cid:durableId="1329015013">
    <w:abstractNumId w:val="8"/>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trackRevisions w:val="tru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B1D"/>
    <w:rsid w:val="000F6BC0"/>
    <w:rsid w:val="001453D1"/>
    <w:rsid w:val="00170182"/>
    <w:rsid w:val="00180F7C"/>
    <w:rsid w:val="001D48DC"/>
    <w:rsid w:val="002904B3"/>
    <w:rsid w:val="002A184E"/>
    <w:rsid w:val="00312BC4"/>
    <w:rsid w:val="00461642"/>
    <w:rsid w:val="004B3515"/>
    <w:rsid w:val="004C3882"/>
    <w:rsid w:val="00503178"/>
    <w:rsid w:val="0052671A"/>
    <w:rsid w:val="005407D3"/>
    <w:rsid w:val="00563E9A"/>
    <w:rsid w:val="00705194"/>
    <w:rsid w:val="007C7282"/>
    <w:rsid w:val="007F081D"/>
    <w:rsid w:val="00803B1D"/>
    <w:rsid w:val="00823D84"/>
    <w:rsid w:val="00883F90"/>
    <w:rsid w:val="00926D09"/>
    <w:rsid w:val="00996204"/>
    <w:rsid w:val="00A84571"/>
    <w:rsid w:val="00B25772"/>
    <w:rsid w:val="00B56037"/>
    <w:rsid w:val="00B731BD"/>
    <w:rsid w:val="00BB2200"/>
    <w:rsid w:val="00BD7C97"/>
    <w:rsid w:val="00DE7DA7"/>
    <w:rsid w:val="00E26E96"/>
    <w:rsid w:val="00EF4651"/>
    <w:rsid w:val="00F35491"/>
    <w:rsid w:val="00FA1233"/>
    <w:rsid w:val="05B22D46"/>
    <w:rsid w:val="44B9C9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10ED7"/>
  <w15:chartTrackingRefBased/>
  <w15:docId w15:val="{C369EEFC-AF33-4FCA-ADC9-AD5408B32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itre1">
    <w:name w:val="heading 1"/>
    <w:basedOn w:val="Normal"/>
    <w:next w:val="Normal"/>
    <w:link w:val="Titre1Car"/>
    <w:uiPriority w:val="9"/>
    <w:qFormat/>
    <w:rsid w:val="00803B1D"/>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803B1D"/>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803B1D"/>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803B1D"/>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803B1D"/>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803B1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03B1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03B1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03B1D"/>
    <w:pPr>
      <w:keepNext/>
      <w:keepLines/>
      <w:spacing w:after="0"/>
      <w:outlineLvl w:val="8"/>
    </w:pPr>
    <w:rPr>
      <w:rFonts w:eastAsiaTheme="majorEastAsia" w:cstheme="majorBidi"/>
      <w:color w:val="272727" w:themeColor="text1" w:themeTint="D8"/>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Titre1Car" w:customStyle="1">
    <w:name w:val="Titre 1 Car"/>
    <w:basedOn w:val="Policepardfaut"/>
    <w:link w:val="Titre1"/>
    <w:uiPriority w:val="9"/>
    <w:rsid w:val="00803B1D"/>
    <w:rPr>
      <w:rFonts w:asciiTheme="majorHAnsi" w:hAnsiTheme="majorHAnsi" w:eastAsiaTheme="majorEastAsia" w:cstheme="majorBidi"/>
      <w:color w:val="2F5496" w:themeColor="accent1" w:themeShade="BF"/>
      <w:sz w:val="40"/>
      <w:szCs w:val="40"/>
    </w:rPr>
  </w:style>
  <w:style w:type="character" w:styleId="Titre2Car" w:customStyle="1">
    <w:name w:val="Titre 2 Car"/>
    <w:basedOn w:val="Policepardfaut"/>
    <w:link w:val="Titre2"/>
    <w:uiPriority w:val="9"/>
    <w:semiHidden/>
    <w:rsid w:val="00803B1D"/>
    <w:rPr>
      <w:rFonts w:asciiTheme="majorHAnsi" w:hAnsiTheme="majorHAnsi" w:eastAsiaTheme="majorEastAsia" w:cstheme="majorBidi"/>
      <w:color w:val="2F5496" w:themeColor="accent1" w:themeShade="BF"/>
      <w:sz w:val="32"/>
      <w:szCs w:val="32"/>
    </w:rPr>
  </w:style>
  <w:style w:type="character" w:styleId="Titre3Car" w:customStyle="1">
    <w:name w:val="Titre 3 Car"/>
    <w:basedOn w:val="Policepardfaut"/>
    <w:link w:val="Titre3"/>
    <w:uiPriority w:val="9"/>
    <w:semiHidden/>
    <w:rsid w:val="00803B1D"/>
    <w:rPr>
      <w:rFonts w:eastAsiaTheme="majorEastAsia" w:cstheme="majorBidi"/>
      <w:color w:val="2F5496" w:themeColor="accent1" w:themeShade="BF"/>
      <w:sz w:val="28"/>
      <w:szCs w:val="28"/>
    </w:rPr>
  </w:style>
  <w:style w:type="character" w:styleId="Titre4Car" w:customStyle="1">
    <w:name w:val="Titre 4 Car"/>
    <w:basedOn w:val="Policepardfaut"/>
    <w:link w:val="Titre4"/>
    <w:uiPriority w:val="9"/>
    <w:semiHidden/>
    <w:rsid w:val="00803B1D"/>
    <w:rPr>
      <w:rFonts w:eastAsiaTheme="majorEastAsia" w:cstheme="majorBidi"/>
      <w:i/>
      <w:iCs/>
      <w:color w:val="2F5496" w:themeColor="accent1" w:themeShade="BF"/>
    </w:rPr>
  </w:style>
  <w:style w:type="character" w:styleId="Titre5Car" w:customStyle="1">
    <w:name w:val="Titre 5 Car"/>
    <w:basedOn w:val="Policepardfaut"/>
    <w:link w:val="Titre5"/>
    <w:uiPriority w:val="9"/>
    <w:semiHidden/>
    <w:rsid w:val="00803B1D"/>
    <w:rPr>
      <w:rFonts w:eastAsiaTheme="majorEastAsia" w:cstheme="majorBidi"/>
      <w:color w:val="2F5496" w:themeColor="accent1" w:themeShade="BF"/>
    </w:rPr>
  </w:style>
  <w:style w:type="character" w:styleId="Titre6Car" w:customStyle="1">
    <w:name w:val="Titre 6 Car"/>
    <w:basedOn w:val="Policepardfaut"/>
    <w:link w:val="Titre6"/>
    <w:uiPriority w:val="9"/>
    <w:semiHidden/>
    <w:rsid w:val="00803B1D"/>
    <w:rPr>
      <w:rFonts w:eastAsiaTheme="majorEastAsia" w:cstheme="majorBidi"/>
      <w:i/>
      <w:iCs/>
      <w:color w:val="595959" w:themeColor="text1" w:themeTint="A6"/>
    </w:rPr>
  </w:style>
  <w:style w:type="character" w:styleId="Titre7Car" w:customStyle="1">
    <w:name w:val="Titre 7 Car"/>
    <w:basedOn w:val="Policepardfaut"/>
    <w:link w:val="Titre7"/>
    <w:uiPriority w:val="9"/>
    <w:semiHidden/>
    <w:rsid w:val="00803B1D"/>
    <w:rPr>
      <w:rFonts w:eastAsiaTheme="majorEastAsia" w:cstheme="majorBidi"/>
      <w:color w:val="595959" w:themeColor="text1" w:themeTint="A6"/>
    </w:rPr>
  </w:style>
  <w:style w:type="character" w:styleId="Titre8Car" w:customStyle="1">
    <w:name w:val="Titre 8 Car"/>
    <w:basedOn w:val="Policepardfaut"/>
    <w:link w:val="Titre8"/>
    <w:uiPriority w:val="9"/>
    <w:semiHidden/>
    <w:rsid w:val="00803B1D"/>
    <w:rPr>
      <w:rFonts w:eastAsiaTheme="majorEastAsia" w:cstheme="majorBidi"/>
      <w:i/>
      <w:iCs/>
      <w:color w:val="272727" w:themeColor="text1" w:themeTint="D8"/>
    </w:rPr>
  </w:style>
  <w:style w:type="character" w:styleId="Titre9Car" w:customStyle="1">
    <w:name w:val="Titre 9 Car"/>
    <w:basedOn w:val="Policepardfaut"/>
    <w:link w:val="Titre9"/>
    <w:uiPriority w:val="9"/>
    <w:semiHidden/>
    <w:rsid w:val="00803B1D"/>
    <w:rPr>
      <w:rFonts w:eastAsiaTheme="majorEastAsia" w:cstheme="majorBidi"/>
      <w:color w:val="272727" w:themeColor="text1" w:themeTint="D8"/>
    </w:rPr>
  </w:style>
  <w:style w:type="paragraph" w:styleId="Titre">
    <w:name w:val="Title"/>
    <w:basedOn w:val="Normal"/>
    <w:next w:val="Normal"/>
    <w:link w:val="TitreCar"/>
    <w:uiPriority w:val="10"/>
    <w:qFormat/>
    <w:rsid w:val="00803B1D"/>
    <w:pPr>
      <w:spacing w:after="80" w:line="240" w:lineRule="auto"/>
      <w:contextualSpacing/>
    </w:pPr>
    <w:rPr>
      <w:rFonts w:asciiTheme="majorHAnsi" w:hAnsiTheme="majorHAnsi" w:eastAsiaTheme="majorEastAsia" w:cstheme="majorBidi"/>
      <w:spacing w:val="-10"/>
      <w:kern w:val="28"/>
      <w:sz w:val="56"/>
      <w:szCs w:val="56"/>
    </w:rPr>
  </w:style>
  <w:style w:type="character" w:styleId="TitreCar" w:customStyle="1">
    <w:name w:val="Titre Car"/>
    <w:basedOn w:val="Policepardfaut"/>
    <w:link w:val="Titre"/>
    <w:uiPriority w:val="10"/>
    <w:rsid w:val="00803B1D"/>
    <w:rPr>
      <w:rFonts w:asciiTheme="majorHAnsi" w:hAnsiTheme="majorHAnsi" w:eastAsiaTheme="majorEastAsia" w:cstheme="majorBidi"/>
      <w:spacing w:val="-10"/>
      <w:kern w:val="28"/>
      <w:sz w:val="56"/>
      <w:szCs w:val="56"/>
    </w:rPr>
  </w:style>
  <w:style w:type="paragraph" w:styleId="Sous-titre">
    <w:name w:val="Subtitle"/>
    <w:basedOn w:val="Normal"/>
    <w:next w:val="Normal"/>
    <w:link w:val="Sous-titreCar"/>
    <w:uiPriority w:val="11"/>
    <w:qFormat/>
    <w:rsid w:val="00803B1D"/>
    <w:pPr>
      <w:numPr>
        <w:ilvl w:val="1"/>
      </w:numPr>
    </w:pPr>
    <w:rPr>
      <w:rFonts w:eastAsiaTheme="majorEastAsia" w:cstheme="majorBidi"/>
      <w:color w:val="595959" w:themeColor="text1" w:themeTint="A6"/>
      <w:spacing w:val="15"/>
      <w:sz w:val="28"/>
      <w:szCs w:val="28"/>
    </w:rPr>
  </w:style>
  <w:style w:type="character" w:styleId="Sous-titreCar" w:customStyle="1">
    <w:name w:val="Sous-titre Car"/>
    <w:basedOn w:val="Policepardfaut"/>
    <w:link w:val="Sous-titre"/>
    <w:uiPriority w:val="11"/>
    <w:rsid w:val="00803B1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03B1D"/>
    <w:pPr>
      <w:spacing w:before="160"/>
      <w:jc w:val="center"/>
    </w:pPr>
    <w:rPr>
      <w:i/>
      <w:iCs/>
      <w:color w:val="404040" w:themeColor="text1" w:themeTint="BF"/>
    </w:rPr>
  </w:style>
  <w:style w:type="character" w:styleId="CitationCar" w:customStyle="1">
    <w:name w:val="Citation Car"/>
    <w:basedOn w:val="Policepardfaut"/>
    <w:link w:val="Citation"/>
    <w:uiPriority w:val="29"/>
    <w:rsid w:val="00803B1D"/>
    <w:rPr>
      <w:i/>
      <w:iCs/>
      <w:color w:val="404040" w:themeColor="text1" w:themeTint="BF"/>
    </w:rPr>
  </w:style>
  <w:style w:type="paragraph" w:styleId="Paragraphedeliste">
    <w:name w:val="List Paragraph"/>
    <w:basedOn w:val="Normal"/>
    <w:uiPriority w:val="34"/>
    <w:qFormat/>
    <w:rsid w:val="00803B1D"/>
    <w:pPr>
      <w:ind w:left="720"/>
      <w:contextualSpacing/>
    </w:pPr>
  </w:style>
  <w:style w:type="character" w:styleId="Accentuationintense">
    <w:name w:val="Intense Emphasis"/>
    <w:basedOn w:val="Policepardfaut"/>
    <w:uiPriority w:val="21"/>
    <w:qFormat/>
    <w:rsid w:val="00803B1D"/>
    <w:rPr>
      <w:i/>
      <w:iCs/>
      <w:color w:val="2F5496" w:themeColor="accent1" w:themeShade="BF"/>
    </w:rPr>
  </w:style>
  <w:style w:type="paragraph" w:styleId="Citationintense">
    <w:name w:val="Intense Quote"/>
    <w:basedOn w:val="Normal"/>
    <w:next w:val="Normal"/>
    <w:link w:val="CitationintenseCar"/>
    <w:uiPriority w:val="30"/>
    <w:qFormat/>
    <w:rsid w:val="00803B1D"/>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CitationintenseCar" w:customStyle="1">
    <w:name w:val="Citation intense Car"/>
    <w:basedOn w:val="Policepardfaut"/>
    <w:link w:val="Citationintense"/>
    <w:uiPriority w:val="30"/>
    <w:rsid w:val="00803B1D"/>
    <w:rPr>
      <w:i/>
      <w:iCs/>
      <w:color w:val="2F5496" w:themeColor="accent1" w:themeShade="BF"/>
    </w:rPr>
  </w:style>
  <w:style w:type="character" w:styleId="Rfrenceintense">
    <w:name w:val="Intense Reference"/>
    <w:basedOn w:val="Policepardfaut"/>
    <w:uiPriority w:val="32"/>
    <w:qFormat/>
    <w:rsid w:val="00803B1D"/>
    <w:rPr>
      <w:b/>
      <w:bCs/>
      <w:smallCaps/>
      <w:color w:val="2F5496" w:themeColor="accent1" w:themeShade="BF"/>
      <w:spacing w:val="5"/>
    </w:rPr>
  </w:style>
  <w:style w:type="table" w:styleId="Grilledutableau">
    <w:name w:val="Table Grid"/>
    <w:basedOn w:val="TableauNormal"/>
    <w:uiPriority w:val="39"/>
    <w:rsid w:val="00803B1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883F90"/>
    <w:pPr>
      <w:spacing w:before="100" w:beforeAutospacing="1" w:after="100" w:afterAutospacing="1" w:line="240" w:lineRule="auto"/>
    </w:pPr>
    <w:rPr>
      <w:rFonts w:ascii="Times New Roman" w:hAnsi="Times New Roman" w:eastAsia="Times New Roman" w:cs="Times New Roman"/>
      <w:kern w:val="0"/>
      <w:lang w:eastAsia="fr-FR"/>
      <w14:ligatures w14:val="none"/>
    </w:rPr>
  </w:style>
  <w:style w:type="character" w:styleId="ckewidgetwrapper" w:customStyle="1">
    <w:name w:val="cke_widget_wrapper"/>
    <w:basedOn w:val="Policepardfaut"/>
    <w:rsid w:val="00883F90"/>
  </w:style>
  <w:style w:type="character" w:styleId="Textedelespacerserv">
    <w:name w:val="Placeholder Text"/>
    <w:basedOn w:val="Policepardfaut"/>
    <w:uiPriority w:val="99"/>
    <w:semiHidden/>
    <w:rsid w:val="00A84571"/>
    <w:rPr>
      <w:color w:val="666666"/>
    </w:rPr>
  </w:style>
  <w:style w:type="paragraph" w:styleId="Rvision">
    <w:name w:val="Revision"/>
    <w:hidden/>
    <w:uiPriority w:val="99"/>
    <w:semiHidden/>
    <w:rsid w:val="00563E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1829">
      <w:bodyDiv w:val="1"/>
      <w:marLeft w:val="0"/>
      <w:marRight w:val="0"/>
      <w:marTop w:val="0"/>
      <w:marBottom w:val="0"/>
      <w:divBdr>
        <w:top w:val="none" w:sz="0" w:space="0" w:color="auto"/>
        <w:left w:val="none" w:sz="0" w:space="0" w:color="auto"/>
        <w:bottom w:val="none" w:sz="0" w:space="0" w:color="auto"/>
        <w:right w:val="none" w:sz="0" w:space="0" w:color="auto"/>
      </w:divBdr>
    </w:div>
    <w:div w:id="92556831">
      <w:bodyDiv w:val="1"/>
      <w:marLeft w:val="0"/>
      <w:marRight w:val="0"/>
      <w:marTop w:val="0"/>
      <w:marBottom w:val="0"/>
      <w:divBdr>
        <w:top w:val="none" w:sz="0" w:space="0" w:color="auto"/>
        <w:left w:val="none" w:sz="0" w:space="0" w:color="auto"/>
        <w:bottom w:val="none" w:sz="0" w:space="0" w:color="auto"/>
        <w:right w:val="none" w:sz="0" w:space="0" w:color="auto"/>
      </w:divBdr>
    </w:div>
    <w:div w:id="324435080">
      <w:bodyDiv w:val="1"/>
      <w:marLeft w:val="0"/>
      <w:marRight w:val="0"/>
      <w:marTop w:val="0"/>
      <w:marBottom w:val="0"/>
      <w:divBdr>
        <w:top w:val="none" w:sz="0" w:space="0" w:color="auto"/>
        <w:left w:val="none" w:sz="0" w:space="0" w:color="auto"/>
        <w:bottom w:val="none" w:sz="0" w:space="0" w:color="auto"/>
        <w:right w:val="none" w:sz="0" w:space="0" w:color="auto"/>
      </w:divBdr>
    </w:div>
    <w:div w:id="380835310">
      <w:bodyDiv w:val="1"/>
      <w:marLeft w:val="0"/>
      <w:marRight w:val="0"/>
      <w:marTop w:val="0"/>
      <w:marBottom w:val="0"/>
      <w:divBdr>
        <w:top w:val="none" w:sz="0" w:space="0" w:color="auto"/>
        <w:left w:val="none" w:sz="0" w:space="0" w:color="auto"/>
        <w:bottom w:val="none" w:sz="0" w:space="0" w:color="auto"/>
        <w:right w:val="none" w:sz="0" w:space="0" w:color="auto"/>
      </w:divBdr>
    </w:div>
    <w:div w:id="468286203">
      <w:bodyDiv w:val="1"/>
      <w:marLeft w:val="0"/>
      <w:marRight w:val="0"/>
      <w:marTop w:val="0"/>
      <w:marBottom w:val="0"/>
      <w:divBdr>
        <w:top w:val="none" w:sz="0" w:space="0" w:color="auto"/>
        <w:left w:val="none" w:sz="0" w:space="0" w:color="auto"/>
        <w:bottom w:val="none" w:sz="0" w:space="0" w:color="auto"/>
        <w:right w:val="none" w:sz="0" w:space="0" w:color="auto"/>
      </w:divBdr>
    </w:div>
    <w:div w:id="471024661">
      <w:bodyDiv w:val="1"/>
      <w:marLeft w:val="0"/>
      <w:marRight w:val="0"/>
      <w:marTop w:val="0"/>
      <w:marBottom w:val="0"/>
      <w:divBdr>
        <w:top w:val="none" w:sz="0" w:space="0" w:color="auto"/>
        <w:left w:val="none" w:sz="0" w:space="0" w:color="auto"/>
        <w:bottom w:val="none" w:sz="0" w:space="0" w:color="auto"/>
        <w:right w:val="none" w:sz="0" w:space="0" w:color="auto"/>
      </w:divBdr>
    </w:div>
    <w:div w:id="531067381">
      <w:bodyDiv w:val="1"/>
      <w:marLeft w:val="0"/>
      <w:marRight w:val="0"/>
      <w:marTop w:val="0"/>
      <w:marBottom w:val="0"/>
      <w:divBdr>
        <w:top w:val="none" w:sz="0" w:space="0" w:color="auto"/>
        <w:left w:val="none" w:sz="0" w:space="0" w:color="auto"/>
        <w:bottom w:val="none" w:sz="0" w:space="0" w:color="auto"/>
        <w:right w:val="none" w:sz="0" w:space="0" w:color="auto"/>
      </w:divBdr>
    </w:div>
    <w:div w:id="543912886">
      <w:bodyDiv w:val="1"/>
      <w:marLeft w:val="0"/>
      <w:marRight w:val="0"/>
      <w:marTop w:val="0"/>
      <w:marBottom w:val="0"/>
      <w:divBdr>
        <w:top w:val="none" w:sz="0" w:space="0" w:color="auto"/>
        <w:left w:val="none" w:sz="0" w:space="0" w:color="auto"/>
        <w:bottom w:val="none" w:sz="0" w:space="0" w:color="auto"/>
        <w:right w:val="none" w:sz="0" w:space="0" w:color="auto"/>
      </w:divBdr>
    </w:div>
    <w:div w:id="619532451">
      <w:bodyDiv w:val="1"/>
      <w:marLeft w:val="0"/>
      <w:marRight w:val="0"/>
      <w:marTop w:val="0"/>
      <w:marBottom w:val="0"/>
      <w:divBdr>
        <w:top w:val="none" w:sz="0" w:space="0" w:color="auto"/>
        <w:left w:val="none" w:sz="0" w:space="0" w:color="auto"/>
        <w:bottom w:val="none" w:sz="0" w:space="0" w:color="auto"/>
        <w:right w:val="none" w:sz="0" w:space="0" w:color="auto"/>
      </w:divBdr>
    </w:div>
    <w:div w:id="638194606">
      <w:bodyDiv w:val="1"/>
      <w:marLeft w:val="0"/>
      <w:marRight w:val="0"/>
      <w:marTop w:val="0"/>
      <w:marBottom w:val="0"/>
      <w:divBdr>
        <w:top w:val="none" w:sz="0" w:space="0" w:color="auto"/>
        <w:left w:val="none" w:sz="0" w:space="0" w:color="auto"/>
        <w:bottom w:val="none" w:sz="0" w:space="0" w:color="auto"/>
        <w:right w:val="none" w:sz="0" w:space="0" w:color="auto"/>
      </w:divBdr>
    </w:div>
    <w:div w:id="653723473">
      <w:bodyDiv w:val="1"/>
      <w:marLeft w:val="0"/>
      <w:marRight w:val="0"/>
      <w:marTop w:val="0"/>
      <w:marBottom w:val="0"/>
      <w:divBdr>
        <w:top w:val="none" w:sz="0" w:space="0" w:color="auto"/>
        <w:left w:val="none" w:sz="0" w:space="0" w:color="auto"/>
        <w:bottom w:val="none" w:sz="0" w:space="0" w:color="auto"/>
        <w:right w:val="none" w:sz="0" w:space="0" w:color="auto"/>
      </w:divBdr>
    </w:div>
    <w:div w:id="693531470">
      <w:bodyDiv w:val="1"/>
      <w:marLeft w:val="0"/>
      <w:marRight w:val="0"/>
      <w:marTop w:val="0"/>
      <w:marBottom w:val="0"/>
      <w:divBdr>
        <w:top w:val="none" w:sz="0" w:space="0" w:color="auto"/>
        <w:left w:val="none" w:sz="0" w:space="0" w:color="auto"/>
        <w:bottom w:val="none" w:sz="0" w:space="0" w:color="auto"/>
        <w:right w:val="none" w:sz="0" w:space="0" w:color="auto"/>
      </w:divBdr>
    </w:div>
    <w:div w:id="747264501">
      <w:bodyDiv w:val="1"/>
      <w:marLeft w:val="0"/>
      <w:marRight w:val="0"/>
      <w:marTop w:val="0"/>
      <w:marBottom w:val="0"/>
      <w:divBdr>
        <w:top w:val="none" w:sz="0" w:space="0" w:color="auto"/>
        <w:left w:val="none" w:sz="0" w:space="0" w:color="auto"/>
        <w:bottom w:val="none" w:sz="0" w:space="0" w:color="auto"/>
        <w:right w:val="none" w:sz="0" w:space="0" w:color="auto"/>
      </w:divBdr>
    </w:div>
    <w:div w:id="791553138">
      <w:bodyDiv w:val="1"/>
      <w:marLeft w:val="0"/>
      <w:marRight w:val="0"/>
      <w:marTop w:val="0"/>
      <w:marBottom w:val="0"/>
      <w:divBdr>
        <w:top w:val="none" w:sz="0" w:space="0" w:color="auto"/>
        <w:left w:val="none" w:sz="0" w:space="0" w:color="auto"/>
        <w:bottom w:val="none" w:sz="0" w:space="0" w:color="auto"/>
        <w:right w:val="none" w:sz="0" w:space="0" w:color="auto"/>
      </w:divBdr>
    </w:div>
    <w:div w:id="792947107">
      <w:bodyDiv w:val="1"/>
      <w:marLeft w:val="0"/>
      <w:marRight w:val="0"/>
      <w:marTop w:val="0"/>
      <w:marBottom w:val="0"/>
      <w:divBdr>
        <w:top w:val="none" w:sz="0" w:space="0" w:color="auto"/>
        <w:left w:val="none" w:sz="0" w:space="0" w:color="auto"/>
        <w:bottom w:val="none" w:sz="0" w:space="0" w:color="auto"/>
        <w:right w:val="none" w:sz="0" w:space="0" w:color="auto"/>
      </w:divBdr>
    </w:div>
    <w:div w:id="829098961">
      <w:bodyDiv w:val="1"/>
      <w:marLeft w:val="0"/>
      <w:marRight w:val="0"/>
      <w:marTop w:val="0"/>
      <w:marBottom w:val="0"/>
      <w:divBdr>
        <w:top w:val="none" w:sz="0" w:space="0" w:color="auto"/>
        <w:left w:val="none" w:sz="0" w:space="0" w:color="auto"/>
        <w:bottom w:val="none" w:sz="0" w:space="0" w:color="auto"/>
        <w:right w:val="none" w:sz="0" w:space="0" w:color="auto"/>
      </w:divBdr>
    </w:div>
    <w:div w:id="911816303">
      <w:bodyDiv w:val="1"/>
      <w:marLeft w:val="0"/>
      <w:marRight w:val="0"/>
      <w:marTop w:val="0"/>
      <w:marBottom w:val="0"/>
      <w:divBdr>
        <w:top w:val="none" w:sz="0" w:space="0" w:color="auto"/>
        <w:left w:val="none" w:sz="0" w:space="0" w:color="auto"/>
        <w:bottom w:val="none" w:sz="0" w:space="0" w:color="auto"/>
        <w:right w:val="none" w:sz="0" w:space="0" w:color="auto"/>
      </w:divBdr>
    </w:div>
    <w:div w:id="998073719">
      <w:bodyDiv w:val="1"/>
      <w:marLeft w:val="0"/>
      <w:marRight w:val="0"/>
      <w:marTop w:val="0"/>
      <w:marBottom w:val="0"/>
      <w:divBdr>
        <w:top w:val="none" w:sz="0" w:space="0" w:color="auto"/>
        <w:left w:val="none" w:sz="0" w:space="0" w:color="auto"/>
        <w:bottom w:val="none" w:sz="0" w:space="0" w:color="auto"/>
        <w:right w:val="none" w:sz="0" w:space="0" w:color="auto"/>
      </w:divBdr>
    </w:div>
    <w:div w:id="1052463092">
      <w:bodyDiv w:val="1"/>
      <w:marLeft w:val="0"/>
      <w:marRight w:val="0"/>
      <w:marTop w:val="0"/>
      <w:marBottom w:val="0"/>
      <w:divBdr>
        <w:top w:val="none" w:sz="0" w:space="0" w:color="auto"/>
        <w:left w:val="none" w:sz="0" w:space="0" w:color="auto"/>
        <w:bottom w:val="none" w:sz="0" w:space="0" w:color="auto"/>
        <w:right w:val="none" w:sz="0" w:space="0" w:color="auto"/>
      </w:divBdr>
    </w:div>
    <w:div w:id="1395278206">
      <w:bodyDiv w:val="1"/>
      <w:marLeft w:val="0"/>
      <w:marRight w:val="0"/>
      <w:marTop w:val="0"/>
      <w:marBottom w:val="0"/>
      <w:divBdr>
        <w:top w:val="none" w:sz="0" w:space="0" w:color="auto"/>
        <w:left w:val="none" w:sz="0" w:space="0" w:color="auto"/>
        <w:bottom w:val="none" w:sz="0" w:space="0" w:color="auto"/>
        <w:right w:val="none" w:sz="0" w:space="0" w:color="auto"/>
      </w:divBdr>
    </w:div>
    <w:div w:id="1422289100">
      <w:bodyDiv w:val="1"/>
      <w:marLeft w:val="0"/>
      <w:marRight w:val="0"/>
      <w:marTop w:val="0"/>
      <w:marBottom w:val="0"/>
      <w:divBdr>
        <w:top w:val="none" w:sz="0" w:space="0" w:color="auto"/>
        <w:left w:val="none" w:sz="0" w:space="0" w:color="auto"/>
        <w:bottom w:val="none" w:sz="0" w:space="0" w:color="auto"/>
        <w:right w:val="none" w:sz="0" w:space="0" w:color="auto"/>
      </w:divBdr>
    </w:div>
    <w:div w:id="1539586520">
      <w:bodyDiv w:val="1"/>
      <w:marLeft w:val="0"/>
      <w:marRight w:val="0"/>
      <w:marTop w:val="0"/>
      <w:marBottom w:val="0"/>
      <w:divBdr>
        <w:top w:val="none" w:sz="0" w:space="0" w:color="auto"/>
        <w:left w:val="none" w:sz="0" w:space="0" w:color="auto"/>
        <w:bottom w:val="none" w:sz="0" w:space="0" w:color="auto"/>
        <w:right w:val="none" w:sz="0" w:space="0" w:color="auto"/>
      </w:divBdr>
    </w:div>
    <w:div w:id="1626035769">
      <w:bodyDiv w:val="1"/>
      <w:marLeft w:val="0"/>
      <w:marRight w:val="0"/>
      <w:marTop w:val="0"/>
      <w:marBottom w:val="0"/>
      <w:divBdr>
        <w:top w:val="none" w:sz="0" w:space="0" w:color="auto"/>
        <w:left w:val="none" w:sz="0" w:space="0" w:color="auto"/>
        <w:bottom w:val="none" w:sz="0" w:space="0" w:color="auto"/>
        <w:right w:val="none" w:sz="0" w:space="0" w:color="auto"/>
      </w:divBdr>
    </w:div>
    <w:div w:id="1729650692">
      <w:bodyDiv w:val="1"/>
      <w:marLeft w:val="0"/>
      <w:marRight w:val="0"/>
      <w:marTop w:val="0"/>
      <w:marBottom w:val="0"/>
      <w:divBdr>
        <w:top w:val="none" w:sz="0" w:space="0" w:color="auto"/>
        <w:left w:val="none" w:sz="0" w:space="0" w:color="auto"/>
        <w:bottom w:val="none" w:sz="0" w:space="0" w:color="auto"/>
        <w:right w:val="none" w:sz="0" w:space="0" w:color="auto"/>
      </w:divBdr>
    </w:div>
    <w:div w:id="1731803134">
      <w:bodyDiv w:val="1"/>
      <w:marLeft w:val="0"/>
      <w:marRight w:val="0"/>
      <w:marTop w:val="0"/>
      <w:marBottom w:val="0"/>
      <w:divBdr>
        <w:top w:val="none" w:sz="0" w:space="0" w:color="auto"/>
        <w:left w:val="none" w:sz="0" w:space="0" w:color="auto"/>
        <w:bottom w:val="none" w:sz="0" w:space="0" w:color="auto"/>
        <w:right w:val="none" w:sz="0" w:space="0" w:color="auto"/>
      </w:divBdr>
    </w:div>
    <w:div w:id="1747798115">
      <w:bodyDiv w:val="1"/>
      <w:marLeft w:val="0"/>
      <w:marRight w:val="0"/>
      <w:marTop w:val="0"/>
      <w:marBottom w:val="0"/>
      <w:divBdr>
        <w:top w:val="none" w:sz="0" w:space="0" w:color="auto"/>
        <w:left w:val="none" w:sz="0" w:space="0" w:color="auto"/>
        <w:bottom w:val="none" w:sz="0" w:space="0" w:color="auto"/>
        <w:right w:val="none" w:sz="0" w:space="0" w:color="auto"/>
      </w:divBdr>
    </w:div>
    <w:div w:id="1752006011">
      <w:bodyDiv w:val="1"/>
      <w:marLeft w:val="0"/>
      <w:marRight w:val="0"/>
      <w:marTop w:val="0"/>
      <w:marBottom w:val="0"/>
      <w:divBdr>
        <w:top w:val="none" w:sz="0" w:space="0" w:color="auto"/>
        <w:left w:val="none" w:sz="0" w:space="0" w:color="auto"/>
        <w:bottom w:val="none" w:sz="0" w:space="0" w:color="auto"/>
        <w:right w:val="none" w:sz="0" w:space="0" w:color="auto"/>
      </w:divBdr>
    </w:div>
    <w:div w:id="1819149522">
      <w:bodyDiv w:val="1"/>
      <w:marLeft w:val="0"/>
      <w:marRight w:val="0"/>
      <w:marTop w:val="0"/>
      <w:marBottom w:val="0"/>
      <w:divBdr>
        <w:top w:val="none" w:sz="0" w:space="0" w:color="auto"/>
        <w:left w:val="none" w:sz="0" w:space="0" w:color="auto"/>
        <w:bottom w:val="none" w:sz="0" w:space="0" w:color="auto"/>
        <w:right w:val="none" w:sz="0" w:space="0" w:color="auto"/>
      </w:divBdr>
    </w:div>
    <w:div w:id="1827014494">
      <w:bodyDiv w:val="1"/>
      <w:marLeft w:val="0"/>
      <w:marRight w:val="0"/>
      <w:marTop w:val="0"/>
      <w:marBottom w:val="0"/>
      <w:divBdr>
        <w:top w:val="none" w:sz="0" w:space="0" w:color="auto"/>
        <w:left w:val="none" w:sz="0" w:space="0" w:color="auto"/>
        <w:bottom w:val="none" w:sz="0" w:space="0" w:color="auto"/>
        <w:right w:val="none" w:sz="0" w:space="0" w:color="auto"/>
      </w:divBdr>
    </w:div>
    <w:div w:id="1873305539">
      <w:bodyDiv w:val="1"/>
      <w:marLeft w:val="0"/>
      <w:marRight w:val="0"/>
      <w:marTop w:val="0"/>
      <w:marBottom w:val="0"/>
      <w:divBdr>
        <w:top w:val="none" w:sz="0" w:space="0" w:color="auto"/>
        <w:left w:val="none" w:sz="0" w:space="0" w:color="auto"/>
        <w:bottom w:val="none" w:sz="0" w:space="0" w:color="auto"/>
        <w:right w:val="none" w:sz="0" w:space="0" w:color="auto"/>
      </w:divBdr>
    </w:div>
    <w:div w:id="1904177398">
      <w:bodyDiv w:val="1"/>
      <w:marLeft w:val="0"/>
      <w:marRight w:val="0"/>
      <w:marTop w:val="0"/>
      <w:marBottom w:val="0"/>
      <w:divBdr>
        <w:top w:val="none" w:sz="0" w:space="0" w:color="auto"/>
        <w:left w:val="none" w:sz="0" w:space="0" w:color="auto"/>
        <w:bottom w:val="none" w:sz="0" w:space="0" w:color="auto"/>
        <w:right w:val="none" w:sz="0" w:space="0" w:color="auto"/>
      </w:divBdr>
    </w:div>
    <w:div w:id="1944146799">
      <w:bodyDiv w:val="1"/>
      <w:marLeft w:val="0"/>
      <w:marRight w:val="0"/>
      <w:marTop w:val="0"/>
      <w:marBottom w:val="0"/>
      <w:divBdr>
        <w:top w:val="none" w:sz="0" w:space="0" w:color="auto"/>
        <w:left w:val="none" w:sz="0" w:space="0" w:color="auto"/>
        <w:bottom w:val="none" w:sz="0" w:space="0" w:color="auto"/>
        <w:right w:val="none" w:sz="0" w:space="0" w:color="auto"/>
      </w:divBdr>
    </w:div>
    <w:div w:id="2051034427">
      <w:bodyDiv w:val="1"/>
      <w:marLeft w:val="0"/>
      <w:marRight w:val="0"/>
      <w:marTop w:val="0"/>
      <w:marBottom w:val="0"/>
      <w:divBdr>
        <w:top w:val="none" w:sz="0" w:space="0" w:color="auto"/>
        <w:left w:val="none" w:sz="0" w:space="0" w:color="auto"/>
        <w:bottom w:val="none" w:sz="0" w:space="0" w:color="auto"/>
        <w:right w:val="none" w:sz="0" w:space="0" w:color="auto"/>
      </w:divBdr>
    </w:div>
    <w:div w:id="2145152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microsoft.com/office/2011/relationships/people" Target="people.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edwige merlay</dc:creator>
  <keywords/>
  <dc:description/>
  <lastModifiedBy>Utilisateur</lastModifiedBy>
  <revision>3</revision>
  <dcterms:created xsi:type="dcterms:W3CDTF">2025-07-31T12:29:00.0000000Z</dcterms:created>
  <dcterms:modified xsi:type="dcterms:W3CDTF">2025-08-12T15:32:53.8309932Z</dcterms:modified>
</coreProperties>
</file>